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88" w:rsidRDefault="00205B1C" w:rsidP="00313DFB">
      <w:pPr>
        <w:tabs>
          <w:tab w:val="num" w:pos="1255"/>
        </w:tabs>
        <w:snapToGrid w:val="0"/>
        <w:spacing w:line="0" w:lineRule="atLeast"/>
        <w:ind w:leftChars="200" w:left="1121" w:hangingChars="200" w:hanging="641"/>
        <w:jc w:val="center"/>
        <w:rPr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05B1C">
        <w:rPr>
          <w:rFonts w:hint="eastAsia"/>
          <w:b/>
          <w:color w:val="000000"/>
          <w:kern w:val="0"/>
          <w:sz w:val="32"/>
          <w:szCs w:val="32"/>
        </w:rPr>
        <w:t>108</w:t>
      </w:r>
      <w:r w:rsidRPr="00205B1C">
        <w:rPr>
          <w:rFonts w:hint="eastAsia"/>
          <w:b/>
          <w:color w:val="000000"/>
          <w:kern w:val="0"/>
          <w:sz w:val="32"/>
          <w:szCs w:val="32"/>
        </w:rPr>
        <w:t>年社會工作專業處遇人員</w:t>
      </w:r>
      <w:r w:rsidRPr="00205B1C">
        <w:rPr>
          <w:rFonts w:hint="eastAsia"/>
          <w:b/>
          <w:color w:val="000000"/>
          <w:kern w:val="0"/>
          <w:sz w:val="32"/>
          <w:szCs w:val="32"/>
        </w:rPr>
        <w:t>-</w:t>
      </w:r>
      <w:r w:rsidRPr="00205B1C">
        <w:rPr>
          <w:rFonts w:hint="eastAsia"/>
          <w:b/>
          <w:color w:val="000000"/>
          <w:kern w:val="0"/>
          <w:sz w:val="32"/>
          <w:szCs w:val="32"/>
        </w:rPr>
        <w:t>勞務承攬採購案</w:t>
      </w:r>
    </w:p>
    <w:p w:rsidR="00723C88" w:rsidRDefault="00723C88" w:rsidP="00723C88">
      <w:pPr>
        <w:tabs>
          <w:tab w:val="num" w:pos="1255"/>
        </w:tabs>
        <w:snapToGrid w:val="0"/>
        <w:spacing w:line="0" w:lineRule="atLeast"/>
        <w:ind w:leftChars="200" w:left="960" w:hangingChars="200" w:hanging="480"/>
        <w:jc w:val="center"/>
        <w:rPr>
          <w:color w:val="000000"/>
          <w:kern w:val="0"/>
        </w:rPr>
      </w:pPr>
      <w:r>
        <w:rPr>
          <w:rFonts w:ascii="新細明體" w:eastAsia="新細明體" w:hAnsi="新細明體" w:hint="eastAsia"/>
          <w:b/>
          <w:bCs/>
        </w:rPr>
        <w:t xml:space="preserve">              </w:t>
      </w:r>
      <w:r>
        <w:rPr>
          <w:rFonts w:ascii="標楷體" w:hAnsi="標楷體" w:hint="eastAsia"/>
          <w:b/>
          <w:bCs/>
          <w:sz w:val="36"/>
          <w:szCs w:val="36"/>
        </w:rPr>
        <w:t>各評審委員評審表</w:t>
      </w:r>
      <w:r w:rsidR="00222589" w:rsidRPr="00222589">
        <w:rPr>
          <w:rFonts w:ascii="標楷體" w:hAnsi="標楷體" w:hint="eastAsia"/>
          <w:b/>
          <w:bCs/>
        </w:rPr>
        <w:t>(第</w:t>
      </w:r>
      <w:r w:rsidR="001B3253">
        <w:rPr>
          <w:rFonts w:ascii="標楷體" w:hAnsi="標楷體" w:hint="eastAsia"/>
          <w:b/>
          <w:bCs/>
        </w:rPr>
        <w:t>2</w:t>
      </w:r>
      <w:r w:rsidR="00222589" w:rsidRPr="00222589">
        <w:rPr>
          <w:rFonts w:ascii="標楷體" w:hAnsi="標楷體" w:hint="eastAsia"/>
          <w:b/>
          <w:bCs/>
        </w:rPr>
        <w:t>次開標)</w:t>
      </w:r>
      <w:r>
        <w:rPr>
          <w:rFonts w:ascii="新細明體" w:eastAsia="新細明體" w:hAnsi="新細明體" w:hint="eastAsia"/>
          <w:bCs/>
        </w:rPr>
        <w:t xml:space="preserve">        </w:t>
      </w:r>
      <w:r>
        <w:rPr>
          <w:rFonts w:ascii="標楷體" w:hAnsi="標楷體" w:hint="eastAsia"/>
          <w:bCs/>
          <w:sz w:val="20"/>
        </w:rPr>
        <w:t>委員編號：</w:t>
      </w:r>
    </w:p>
    <w:tbl>
      <w:tblPr>
        <w:tblW w:w="996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2976"/>
        <w:gridCol w:w="927"/>
        <w:gridCol w:w="720"/>
        <w:gridCol w:w="794"/>
        <w:gridCol w:w="794"/>
        <w:gridCol w:w="794"/>
        <w:gridCol w:w="794"/>
      </w:tblGrid>
      <w:tr w:rsidR="00723C88" w:rsidTr="00490A30">
        <w:trPr>
          <w:cantSplit/>
          <w:trHeight w:val="413"/>
        </w:trPr>
        <w:tc>
          <w:tcPr>
            <w:tcW w:w="513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C88" w:rsidRDefault="0063735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jc w:val="center"/>
              <w:rPr>
                <w:rFonts w:ascii="標楷體" w:hAnsi="標楷體"/>
                <w:bCs/>
                <w:sz w:val="36"/>
                <w:szCs w:val="36"/>
              </w:rPr>
            </w:pPr>
            <w:r>
              <w:rPr>
                <w:rFonts w:ascii="標楷體" w:hAnsi="標楷體" w:hint="eastAsia"/>
                <w:bCs/>
                <w:sz w:val="36"/>
                <w:szCs w:val="36"/>
              </w:rPr>
              <w:t>評審項目</w:t>
            </w:r>
          </w:p>
        </w:tc>
        <w:tc>
          <w:tcPr>
            <w:tcW w:w="92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C88" w:rsidRDefault="0063735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配分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hideMark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廠商</w:t>
            </w:r>
          </w:p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</w:rPr>
              <w:t>編號</w:t>
            </w:r>
          </w:p>
        </w:tc>
        <w:tc>
          <w:tcPr>
            <w:tcW w:w="7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490A30" w:rsidTr="00272489">
        <w:trPr>
          <w:cantSplit/>
          <w:trHeight w:val="1188"/>
        </w:trPr>
        <w:tc>
          <w:tcPr>
            <w:tcW w:w="2161" w:type="dxa"/>
            <w:tcBorders>
              <w:top w:val="dotted" w:sz="4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90A30" w:rsidRPr="00181412" w:rsidRDefault="00490A30" w:rsidP="00272489">
            <w:pPr>
              <w:ind w:left="360" w:hangingChars="150" w:hanging="36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一、</w:t>
            </w:r>
            <w:r w:rsidR="00205B1C">
              <w:rPr>
                <w:rFonts w:ascii="標楷體" w:hAnsi="標楷體" w:hint="eastAsia"/>
              </w:rPr>
              <w:t>廠商之資格及專業程度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490A30" w:rsidRDefault="00205B1C" w:rsidP="00205B1C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組織架構</w:t>
            </w:r>
          </w:p>
          <w:p w:rsidR="00205B1C" w:rsidRDefault="00205B1C" w:rsidP="00205B1C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組織之專業技術能力</w:t>
            </w:r>
          </w:p>
          <w:p w:rsidR="00205B1C" w:rsidRDefault="00205B1C" w:rsidP="00205B1C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重大事件應變處理制度</w:t>
            </w:r>
          </w:p>
          <w:p w:rsidR="00205B1C" w:rsidRPr="00205B1C" w:rsidRDefault="00205B1C" w:rsidP="00205B1C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員工具社工師證照比例</w:t>
            </w:r>
          </w:p>
        </w:tc>
        <w:tc>
          <w:tcPr>
            <w:tcW w:w="9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272489" w:rsidP="00B56D71">
            <w:pPr>
              <w:widowControl/>
              <w:spacing w:line="36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  <w:r w:rsidR="00490A30">
              <w:rPr>
                <w:rFonts w:ascii="標楷體" w:hAnsi="標楷體" w:hint="eastAsia"/>
              </w:rPr>
              <w:t>0%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評分</w:t>
            </w: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490A30" w:rsidTr="00205B1C">
        <w:trPr>
          <w:cantSplit/>
          <w:trHeight w:val="1001"/>
        </w:trPr>
        <w:tc>
          <w:tcPr>
            <w:tcW w:w="2161" w:type="dxa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90A30" w:rsidRPr="00181412" w:rsidRDefault="00490A30" w:rsidP="00272489">
            <w:pPr>
              <w:ind w:left="360" w:hangingChars="150" w:hanging="36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二、</w:t>
            </w:r>
            <w:r w:rsidR="00205B1C">
              <w:rPr>
                <w:rFonts w:ascii="標楷體" w:hAnsi="標楷體" w:hint="eastAsia"/>
              </w:rPr>
              <w:t>廠商管理及提升專業之能力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490A30" w:rsidRDefault="00205B1C" w:rsidP="00205B1C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教育訓練規劃之專業度</w:t>
            </w:r>
          </w:p>
          <w:p w:rsidR="00205B1C" w:rsidRPr="00205B1C" w:rsidRDefault="00205B1C" w:rsidP="00205B1C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員工福利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205B1C" w:rsidP="00B56D71">
            <w:pPr>
              <w:widowControl/>
              <w:spacing w:line="36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 w:rsidR="00490A30">
              <w:rPr>
                <w:rFonts w:ascii="標楷體" w:hAnsi="標楷體" w:hint="eastAsia"/>
              </w:rPr>
              <w:t>0%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評分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490A30" w:rsidTr="00272489">
        <w:trPr>
          <w:cantSplit/>
          <w:trHeight w:val="1043"/>
        </w:trPr>
        <w:tc>
          <w:tcPr>
            <w:tcW w:w="2161" w:type="dxa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Pr="00181412" w:rsidRDefault="00490A30" w:rsidP="00272489">
            <w:pPr>
              <w:ind w:left="360" w:hangingChars="150" w:hanging="36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三、</w:t>
            </w:r>
            <w:r w:rsidR="00205B1C">
              <w:rPr>
                <w:rFonts w:ascii="標楷體" w:hAnsi="標楷體" w:hint="eastAsia"/>
              </w:rPr>
              <w:t>執行人員之資格及經驗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490A30" w:rsidRDefault="00205B1C" w:rsidP="00205B1C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執行本委託案之人員編成與專業能力(具有</w:t>
            </w:r>
            <w:r w:rsidRPr="00DD2EB5">
              <w:rPr>
                <w:rFonts w:ascii="標楷體" w:hAnsi="標楷體" w:hint="eastAsia"/>
              </w:rPr>
              <w:t>社工師</w:t>
            </w:r>
            <w:r>
              <w:rPr>
                <w:rFonts w:ascii="標楷體" w:hAnsi="標楷體" w:hint="eastAsia"/>
              </w:rPr>
              <w:t>執照或具有上述執照之應考資格)</w:t>
            </w:r>
          </w:p>
          <w:p w:rsidR="00205B1C" w:rsidRDefault="00205B1C" w:rsidP="00205B1C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具有對矯正機關收容人、更生人或非自願個案相關工作經驗</w:t>
            </w:r>
          </w:p>
          <w:p w:rsidR="00205B1C" w:rsidRDefault="00205B1C" w:rsidP="00205B1C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具有基礎統計分析及撰寫計畫之經驗</w:t>
            </w:r>
          </w:p>
          <w:p w:rsidR="00205B1C" w:rsidRPr="00205B1C" w:rsidRDefault="00205B1C" w:rsidP="00205B1C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hAnsi="標楷體"/>
              </w:rPr>
            </w:pPr>
            <w:r w:rsidRPr="00205B1C">
              <w:rPr>
                <w:rFonts w:ascii="標楷體" w:hAnsi="標楷體" w:hint="eastAsia"/>
              </w:rPr>
              <w:t>具備1年以上司法少年服務工作經歷具有保護性個案工作經驗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205B1C" w:rsidP="00B56D71">
            <w:pPr>
              <w:widowControl/>
              <w:spacing w:line="36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  <w:r w:rsidR="00490A30">
              <w:rPr>
                <w:rFonts w:ascii="標楷體" w:hAnsi="標楷體" w:hint="eastAsia"/>
              </w:rPr>
              <w:t>0%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評分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490A30" w:rsidTr="00205B1C">
        <w:trPr>
          <w:cantSplit/>
          <w:trHeight w:val="425"/>
        </w:trPr>
        <w:tc>
          <w:tcPr>
            <w:tcW w:w="2161" w:type="dxa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90A30" w:rsidRPr="00181412" w:rsidRDefault="00272489" w:rsidP="00272489">
            <w:pPr>
              <w:ind w:left="-2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四</w:t>
            </w:r>
            <w:r w:rsidR="00205B1C">
              <w:rPr>
                <w:rFonts w:ascii="標楷體" w:hAnsi="標楷體" w:hint="eastAsia"/>
              </w:rPr>
              <w:t>、其他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490A30" w:rsidRDefault="00205B1C" w:rsidP="00272489">
            <w:pPr>
              <w:ind w:left="-25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價格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205B1C" w:rsidP="00B56D71">
            <w:pPr>
              <w:spacing w:line="360" w:lineRule="auto"/>
              <w:ind w:left="-25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 w:rsidR="00490A30">
              <w:rPr>
                <w:rFonts w:ascii="標楷體" w:hAnsi="標楷體" w:hint="eastAsia"/>
              </w:rPr>
              <w:t>0%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評分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90A30" w:rsidRDefault="00490A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723C88" w:rsidTr="00490A30">
        <w:trPr>
          <w:cantSplit/>
          <w:trHeight w:val="474"/>
        </w:trPr>
        <w:tc>
          <w:tcPr>
            <w:tcW w:w="678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8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  <w:sz w:val="28"/>
              </w:rPr>
              <w:t>總評分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23C88" w:rsidRDefault="00723C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atLeast"/>
              <w:ind w:right="28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723C88" w:rsidRDefault="00723C88" w:rsidP="00272489">
      <w:pPr>
        <w:pStyle w:val="a3"/>
        <w:spacing w:line="240" w:lineRule="atLeast"/>
        <w:ind w:left="879" w:hangingChars="314" w:hanging="87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分未達70分及逾90分之主因： </w:t>
      </w:r>
    </w:p>
    <w:p w:rsidR="00272489" w:rsidRDefault="00272489" w:rsidP="00272489">
      <w:pPr>
        <w:pStyle w:val="a3"/>
        <w:spacing w:line="240" w:lineRule="atLeast"/>
        <w:ind w:left="628" w:hangingChars="314" w:hanging="628"/>
        <w:rPr>
          <w:rFonts w:ascii="標楷體" w:eastAsia="標楷體" w:hAnsi="標楷體"/>
          <w:bCs/>
          <w:sz w:val="20"/>
        </w:rPr>
      </w:pPr>
    </w:p>
    <w:p w:rsidR="00723C88" w:rsidRPr="00272489" w:rsidRDefault="00723C88" w:rsidP="00272489">
      <w:pPr>
        <w:pStyle w:val="a3"/>
        <w:spacing w:line="240" w:lineRule="atLeast"/>
        <w:ind w:firstLineChars="1553" w:firstLine="3727"/>
        <w:rPr>
          <w:rFonts w:ascii="標楷體" w:eastAsia="標楷體" w:hAnsi="標楷體"/>
          <w:bCs/>
          <w:sz w:val="24"/>
          <w:szCs w:val="24"/>
        </w:rPr>
      </w:pPr>
      <w:r w:rsidRPr="00272489">
        <w:rPr>
          <w:rFonts w:ascii="標楷體" w:eastAsia="標楷體" w:hAnsi="標楷體" w:hint="eastAsia"/>
          <w:bCs/>
          <w:sz w:val="24"/>
          <w:szCs w:val="24"/>
        </w:rPr>
        <w:t>註：請委員惠予參考該評分級距評定分數。</w:t>
      </w:r>
    </w:p>
    <w:p w:rsidR="00723C88" w:rsidRPr="00272489" w:rsidRDefault="00723C88" w:rsidP="00272489">
      <w:pPr>
        <w:pStyle w:val="a3"/>
        <w:spacing w:line="240" w:lineRule="atLeast"/>
        <w:ind w:left="754" w:hangingChars="314" w:hanging="754"/>
        <w:rPr>
          <w:rFonts w:ascii="標楷體" w:eastAsia="標楷體" w:hAnsi="標楷體"/>
          <w:bCs/>
          <w:sz w:val="24"/>
          <w:szCs w:val="24"/>
        </w:rPr>
      </w:pP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                    </w:t>
      </w:r>
      <w:r w:rsidR="00272489">
        <w:rPr>
          <w:rFonts w:ascii="標楷體" w:eastAsia="標楷體" w:hAnsi="標楷體"/>
          <w:bCs/>
          <w:sz w:val="24"/>
          <w:szCs w:val="24"/>
        </w:rPr>
        <w:t xml:space="preserve">           </w:t>
      </w: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各評審項目得90%以上者：優良</w:t>
      </w:r>
    </w:p>
    <w:p w:rsidR="00723C88" w:rsidRPr="00272489" w:rsidRDefault="00723C88" w:rsidP="00272489">
      <w:pPr>
        <w:pStyle w:val="a3"/>
        <w:spacing w:line="240" w:lineRule="atLeast"/>
        <w:ind w:left="754" w:hangingChars="314" w:hanging="754"/>
        <w:rPr>
          <w:rFonts w:ascii="標楷體" w:eastAsia="標楷體" w:hAnsi="標楷體"/>
          <w:bCs/>
          <w:sz w:val="24"/>
          <w:szCs w:val="24"/>
        </w:rPr>
      </w:pP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                           </w:t>
      </w:r>
      <w:r w:rsidR="00272489">
        <w:rPr>
          <w:rFonts w:ascii="標楷體" w:eastAsia="標楷體" w:hAnsi="標楷體"/>
          <w:bCs/>
          <w:sz w:val="24"/>
          <w:szCs w:val="24"/>
        </w:rPr>
        <w:t xml:space="preserve">   </w:t>
      </w: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 得分70%~90%者：佳</w:t>
      </w:r>
    </w:p>
    <w:p w:rsidR="00723C88" w:rsidRPr="00272489" w:rsidRDefault="00723C88" w:rsidP="00272489">
      <w:pPr>
        <w:pStyle w:val="a3"/>
        <w:spacing w:line="240" w:lineRule="atLeast"/>
        <w:ind w:left="754" w:hangingChars="314" w:hanging="754"/>
        <w:rPr>
          <w:rFonts w:ascii="標楷體" w:eastAsia="標楷體" w:hAnsi="標楷體"/>
          <w:bCs/>
          <w:sz w:val="24"/>
          <w:szCs w:val="24"/>
        </w:rPr>
      </w:pP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                            </w:t>
      </w:r>
      <w:r w:rsidR="00272489">
        <w:rPr>
          <w:rFonts w:ascii="標楷體" w:eastAsia="標楷體" w:hAnsi="標楷體"/>
          <w:bCs/>
          <w:sz w:val="24"/>
          <w:szCs w:val="24"/>
        </w:rPr>
        <w:t xml:space="preserve">   </w:t>
      </w: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得分50%~70%者：尚可</w:t>
      </w:r>
    </w:p>
    <w:p w:rsidR="00723C88" w:rsidRPr="00272489" w:rsidRDefault="00723C88" w:rsidP="00272489">
      <w:pPr>
        <w:pStyle w:val="a3"/>
        <w:spacing w:line="240" w:lineRule="atLeast"/>
        <w:ind w:left="754" w:hangingChars="314" w:hanging="754"/>
        <w:rPr>
          <w:rFonts w:ascii="標楷體" w:eastAsia="標楷體" w:hAnsi="標楷體"/>
          <w:bCs/>
          <w:sz w:val="24"/>
          <w:szCs w:val="24"/>
        </w:rPr>
      </w:pP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                            </w:t>
      </w:r>
      <w:r w:rsidR="00272489">
        <w:rPr>
          <w:rFonts w:ascii="標楷體" w:eastAsia="標楷體" w:hAnsi="標楷體"/>
          <w:bCs/>
          <w:sz w:val="24"/>
          <w:szCs w:val="24"/>
        </w:rPr>
        <w:t xml:space="preserve">   </w:t>
      </w: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得分30%~50%者：差</w:t>
      </w:r>
    </w:p>
    <w:p w:rsidR="00723C88" w:rsidRPr="00272489" w:rsidRDefault="00723C88" w:rsidP="00272489">
      <w:pPr>
        <w:pStyle w:val="a3"/>
        <w:spacing w:line="240" w:lineRule="atLeast"/>
        <w:ind w:left="754" w:hangingChars="314" w:hanging="754"/>
        <w:rPr>
          <w:rFonts w:ascii="標楷體" w:eastAsia="標楷體" w:hAnsi="標楷體"/>
          <w:bCs/>
          <w:sz w:val="24"/>
          <w:szCs w:val="24"/>
        </w:rPr>
      </w:pPr>
      <w:r w:rsidRPr="00272489">
        <w:rPr>
          <w:rFonts w:ascii="標楷體" w:eastAsia="標楷體" w:hAnsi="標楷體" w:hint="eastAsia"/>
          <w:bCs/>
          <w:sz w:val="24"/>
          <w:szCs w:val="24"/>
        </w:rPr>
        <w:t xml:space="preserve">  </w:t>
      </w:r>
      <w:r w:rsidR="00272489">
        <w:rPr>
          <w:rFonts w:ascii="標楷體" w:eastAsia="標楷體" w:hAnsi="標楷體"/>
          <w:bCs/>
          <w:sz w:val="24"/>
          <w:szCs w:val="24"/>
        </w:rPr>
        <w:t xml:space="preserve"> </w:t>
      </w:r>
      <w:r w:rsidR="00EB0932" w:rsidRPr="00272489">
        <w:rPr>
          <w:rFonts w:ascii="標楷體" w:eastAsia="標楷體" w:hAnsi="標楷體" w:hint="eastAsia"/>
          <w:bCs/>
          <w:sz w:val="32"/>
          <w:szCs w:val="32"/>
        </w:rPr>
        <w:t>委員簽名處</w:t>
      </w:r>
      <w:r w:rsidR="00EB0932" w:rsidRPr="00272489">
        <w:rPr>
          <w:rFonts w:ascii="標楷體" w:eastAsia="標楷體" w:hAnsi="標楷體" w:hint="eastAsia"/>
          <w:bCs/>
          <w:sz w:val="24"/>
          <w:szCs w:val="24"/>
        </w:rPr>
        <w:t xml:space="preserve">                    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</w:tblGrid>
      <w:tr w:rsidR="00EB0932" w:rsidTr="00EB0932">
        <w:trPr>
          <w:trHeight w:val="877"/>
        </w:trPr>
        <w:tc>
          <w:tcPr>
            <w:tcW w:w="1837" w:type="dxa"/>
          </w:tcPr>
          <w:p w:rsidR="00EB0932" w:rsidRDefault="00272489" w:rsidP="00723C88">
            <w:r w:rsidRPr="00272489">
              <w:rPr>
                <w:rFonts w:ascii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-14605</wp:posOffset>
                      </wp:positionV>
                      <wp:extent cx="1408386" cy="1460938"/>
                      <wp:effectExtent l="0" t="0" r="20955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386" cy="14609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C4E55" id="矩形 3" o:spid="_x0000_s1026" style="position:absolute;margin-left:-14.65pt;margin-top:-1.15pt;width:110.9pt;height:11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" fillcolor="white [3201]" strokecolor="#f79646 [3209]" strokeweight="2pt"/>
                  </w:pict>
                </mc:Fallback>
              </mc:AlternateContent>
            </w:r>
            <w:r w:rsidR="00EB0932">
              <w:rPr>
                <w:rFonts w:hint="eastAsia"/>
              </w:rPr>
              <w:t>委員</w:t>
            </w:r>
          </w:p>
        </w:tc>
      </w:tr>
    </w:tbl>
    <w:p w:rsidR="003745F9" w:rsidRDefault="00723C88" w:rsidP="00723C88">
      <w:r>
        <w:rPr>
          <w:rFonts w:ascii="新細明體" w:eastAsia="新細明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margin">
                  <wp:posOffset>-455295</wp:posOffset>
                </wp:positionH>
                <wp:positionV relativeFrom="margin">
                  <wp:posOffset>7833995</wp:posOffset>
                </wp:positionV>
                <wp:extent cx="2286000" cy="228600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974B5" id="直線接點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5.85pt,616.85pt" to="144.15pt,7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">
                <v:stroke dashstyle="dash"/>
                <w10:wrap anchorx="margin" anchory="margin"/>
                <w10:anchorlock/>
              </v:line>
            </w:pict>
          </mc:Fallback>
        </mc:AlternateContent>
      </w:r>
    </w:p>
    <w:sectPr w:rsidR="003745F9" w:rsidSect="00723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29" w:rsidRDefault="006D5A29" w:rsidP="00490A30">
      <w:r>
        <w:separator/>
      </w:r>
    </w:p>
  </w:endnote>
  <w:endnote w:type="continuationSeparator" w:id="0">
    <w:p w:rsidR="006D5A29" w:rsidRDefault="006D5A29" w:rsidP="0049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4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29" w:rsidRDefault="006D5A29" w:rsidP="00490A30">
      <w:r>
        <w:separator/>
      </w:r>
    </w:p>
  </w:footnote>
  <w:footnote w:type="continuationSeparator" w:id="0">
    <w:p w:rsidR="006D5A29" w:rsidRDefault="006D5A29" w:rsidP="0049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300"/>
    <w:multiLevelType w:val="hybridMultilevel"/>
    <w:tmpl w:val="F1E47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FE51EF"/>
    <w:multiLevelType w:val="hybridMultilevel"/>
    <w:tmpl w:val="2E1C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18482D"/>
    <w:multiLevelType w:val="hybridMultilevel"/>
    <w:tmpl w:val="7714D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88"/>
    <w:rsid w:val="001B3253"/>
    <w:rsid w:val="00205B1C"/>
    <w:rsid w:val="00215393"/>
    <w:rsid w:val="00222589"/>
    <w:rsid w:val="00272489"/>
    <w:rsid w:val="002F4266"/>
    <w:rsid w:val="00311D54"/>
    <w:rsid w:val="00312000"/>
    <w:rsid w:val="00313DFB"/>
    <w:rsid w:val="0031680E"/>
    <w:rsid w:val="003745F9"/>
    <w:rsid w:val="00416811"/>
    <w:rsid w:val="00490A30"/>
    <w:rsid w:val="004E62D1"/>
    <w:rsid w:val="00637356"/>
    <w:rsid w:val="006D5A29"/>
    <w:rsid w:val="0070635F"/>
    <w:rsid w:val="00723C88"/>
    <w:rsid w:val="008848CF"/>
    <w:rsid w:val="00887DE0"/>
    <w:rsid w:val="008A5601"/>
    <w:rsid w:val="00C23E7D"/>
    <w:rsid w:val="00DD2EB5"/>
    <w:rsid w:val="00EB0932"/>
    <w:rsid w:val="00F34A6B"/>
    <w:rsid w:val="00F831E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78DA0-24DA-4C80-981B-BB50E920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88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723C88"/>
    <w:pPr>
      <w:keepNext/>
      <w:spacing w:line="720" w:lineRule="auto"/>
      <w:outlineLvl w:val="2"/>
    </w:pPr>
    <w:rPr>
      <w:rFonts w:ascii="Cambria" w:eastAsia="新細明體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23C88"/>
    <w:rPr>
      <w:rFonts w:ascii="Cambria" w:eastAsia="新細明體" w:hAnsi="Cambria" w:cs="新細明體"/>
      <w:b/>
      <w:bCs/>
      <w:sz w:val="36"/>
      <w:szCs w:val="36"/>
    </w:rPr>
  </w:style>
  <w:style w:type="paragraph" w:styleId="a3">
    <w:name w:val="Body Text Indent"/>
    <w:basedOn w:val="a"/>
    <w:link w:val="a4"/>
    <w:semiHidden/>
    <w:unhideWhenUsed/>
    <w:rsid w:val="00723C88"/>
    <w:pPr>
      <w:spacing w:line="360" w:lineRule="auto"/>
      <w:ind w:firstLineChars="250" w:firstLine="650"/>
    </w:pPr>
    <w:rPr>
      <w:rFonts w:ascii="華康仿宋體W4" w:eastAsia="華康仿宋體W4"/>
      <w:kern w:val="0"/>
      <w:sz w:val="26"/>
      <w:szCs w:val="20"/>
    </w:rPr>
  </w:style>
  <w:style w:type="character" w:customStyle="1" w:styleId="a4">
    <w:name w:val="本文縮排 字元"/>
    <w:basedOn w:val="a0"/>
    <w:link w:val="a3"/>
    <w:semiHidden/>
    <w:rsid w:val="00723C88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49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0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0A30"/>
    <w:rPr>
      <w:rFonts w:ascii="Times New Roman" w:eastAsia="標楷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5B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王志遠</dc:creator>
  <cp:lastModifiedBy>周宸瑄</cp:lastModifiedBy>
  <cp:revision>2</cp:revision>
  <cp:lastPrinted>2017-06-30T08:19:00Z</cp:lastPrinted>
  <dcterms:created xsi:type="dcterms:W3CDTF">2019-05-10T06:09:00Z</dcterms:created>
  <dcterms:modified xsi:type="dcterms:W3CDTF">2019-05-10T06:09:00Z</dcterms:modified>
</cp:coreProperties>
</file>